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33D5" w14:textId="03F61A02" w:rsidR="0036066D" w:rsidRDefault="0036066D" w:rsidP="005B03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E8F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2383DCD3" wp14:editId="047DFB58">
            <wp:simplePos x="0" y="0"/>
            <wp:positionH relativeFrom="page">
              <wp:posOffset>5513695</wp:posOffset>
            </wp:positionH>
            <wp:positionV relativeFrom="page">
              <wp:posOffset>805218</wp:posOffset>
            </wp:positionV>
            <wp:extent cx="1404603" cy="1762125"/>
            <wp:effectExtent l="0" t="0" r="571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03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BBF48" w14:textId="77777777" w:rsidR="0036066D" w:rsidRDefault="0036066D" w:rsidP="005B03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55D1BA" w14:textId="77777777" w:rsidR="0036066D" w:rsidRDefault="0036066D" w:rsidP="005B03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B2EB56" w14:textId="77777777" w:rsidR="0036066D" w:rsidRDefault="0036066D" w:rsidP="005B03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BEEB52" w14:textId="77777777" w:rsidR="0036066D" w:rsidRDefault="0036066D" w:rsidP="005B03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D8C370" w14:textId="77777777" w:rsidR="0036066D" w:rsidRDefault="0036066D" w:rsidP="005B03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12D02F" w14:textId="1A7DB703" w:rsidR="00364CB4" w:rsidRDefault="00364CB4" w:rsidP="00AC13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64CB4">
        <w:rPr>
          <w:rFonts w:ascii="Times New Roman" w:hAnsi="Times New Roman" w:cs="Times New Roman"/>
          <w:b/>
          <w:i/>
          <w:iCs/>
          <w:sz w:val="36"/>
        </w:rPr>
        <w:t>HERD EFFECT</w:t>
      </w:r>
      <w:r w:rsidRPr="00364CB4">
        <w:rPr>
          <w:rFonts w:ascii="Times New Roman" w:hAnsi="Times New Roman" w:cs="Times New Roman"/>
          <w:b/>
          <w:sz w:val="36"/>
        </w:rPr>
        <w:t xml:space="preserve"> DI ERA MEDIA SOSIAL: </w:t>
      </w:r>
    </w:p>
    <w:p w14:paraId="7C6D3B58" w14:textId="77777777" w:rsidR="00364CB4" w:rsidRDefault="00364CB4" w:rsidP="00364C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64CB4">
        <w:rPr>
          <w:rFonts w:ascii="Times New Roman" w:hAnsi="Times New Roman" w:cs="Times New Roman"/>
          <w:b/>
          <w:sz w:val="36"/>
        </w:rPr>
        <w:t>KETIKA VIRAL MENGALAHKAN NALAR</w:t>
      </w:r>
    </w:p>
    <w:p w14:paraId="25538557" w14:textId="77777777" w:rsidR="00540132" w:rsidRDefault="00540132" w:rsidP="00364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A8D76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fundamental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mengonsumsi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Media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interpersonal,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bertransformasi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Platform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TikTok, X (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Twitte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r),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Instagram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Facebook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data,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engagemen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t). Dalam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menguat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1CC6C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viralitas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dipersepsikan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disamakan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legitimasi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konsensus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Akibatnya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nalar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tergeser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mendasarnya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menyebar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 era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DCFA12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C1BEF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Digital</w:t>
      </w:r>
    </w:p>
    <w:p w14:paraId="48486B5A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meniru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ketidakpastian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ketidakpastian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diperkuat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banjir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fragmentasi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absennya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penentu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Media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sinyal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likes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shares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views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—yang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validitas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semu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B3922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platform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bola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salju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legitimasi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massal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akurasinya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visibilitasnya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mengadopsi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heuristics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), guna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DB943B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psikologis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individual,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melainkan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platform. Ketika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simultan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homogen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keberagaman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melemahkan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tradisi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debat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argumen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42CD3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29532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Viralitas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Kecepatan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versus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Akurasi</w:t>
      </w:r>
      <w:proofErr w:type="spellEnd"/>
    </w:p>
    <w:p w14:paraId="54B25902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lemahnya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menyebar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hitungan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detik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Viralitas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berpihak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provokatif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dikonsumsi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 w14:paraId="590D8442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viral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terverifikasi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Klarifikasi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belakangan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kalah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jangkauannya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Logika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paradoks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digital: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Reputasi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terdistorsi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potongan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utuh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7AC58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mengapresiasi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resonansi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faktual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intervensi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mengalahkan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kehati-hatian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viralitas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menggantikan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validitas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uang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34B99F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B9A0A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Polarisasi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Penghakiman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Digital</w:t>
      </w:r>
    </w:p>
    <w:p w14:paraId="3F114507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konsekuensi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polarisasi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filter bubble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keyakinan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eksisting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mengisolasi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Ruang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bergeser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arena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deliberasi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medan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kontestasi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afiliasi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1FDC1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trial by social media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penghakiman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pembuktian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hakim moral,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asas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praduga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bersalah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perundungan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daring,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trauma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psikologis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09148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Polarisasi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penghakiman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merusak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kohesi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mengikis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formal,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media, dan negara. Ketika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dipersepsikan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linimasa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legitimasi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institusional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291A6" w14:textId="77777777" w:rsidR="00895481" w:rsidRPr="00364CB4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24B86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Implikasi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Demokrasi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Publik</w:t>
      </w:r>
    </w:p>
    <w:p w14:paraId="5C6841BF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mensyaratkan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terkendali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menggerus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prasyarat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viralitas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rentan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dimanipulasi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aktor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F3612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micro-targeting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penyebaran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tersegmentasi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manipulatif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Akibatnya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arena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rekayasa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setara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respons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viral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sesaat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evidence-based policy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BA29C8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melemahkan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deliberasi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populisme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memperbesar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dikendalikan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esensi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rasionalitasnya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618AFD" w14:textId="77777777" w:rsidR="00540132" w:rsidRDefault="00540132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9D20E" w14:textId="77777777" w:rsidR="00540132" w:rsidRDefault="00540132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F0FE8" w14:textId="77777777" w:rsidR="00895481" w:rsidRPr="00364CB4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19DF2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pada Pendidikan dan Dunia Usaha</w:t>
      </w:r>
    </w:p>
    <w:p w14:paraId="647520E8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tercermin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pergeseran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influencer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formal.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memprioritaskan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visual,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substansi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dikemas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atraktif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terpinggirkan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panjangnya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melemahnya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analitis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C55DF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Dalam dunia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Satu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viral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memicu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boikot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krisis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Reputasi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rapuh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sangat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fluktuatif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krisis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8FAC3" w14:textId="77777777" w:rsidR="00895481" w:rsidRPr="00364CB4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733F0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Mitigasi</w:t>
      </w:r>
      <w:proofErr w:type="spellEnd"/>
    </w:p>
    <w:p w14:paraId="4E9055A1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intervensi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paling fundamental.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validitas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bias dan framing,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respons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Pendidikan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diintegrasikan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formal dan program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hayat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1DA5B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Selain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platform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memikul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semata-mata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dievaluasi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pelabelan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platform.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akademisi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mutlak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992A2" w14:textId="77777777" w:rsidR="00895481" w:rsidRPr="00364CB4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298DF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Peran Negara dan </w:t>
      </w:r>
      <w:proofErr w:type="spellStart"/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Regulasi</w:t>
      </w:r>
      <w:proofErr w:type="spellEnd"/>
    </w:p>
    <w:p w14:paraId="1BFF6540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Negara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Regulasi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akuntabilitas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figur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berkomitmen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7CA01E" w14:textId="77777777" w:rsidR="00895481" w:rsidRPr="00364CB4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C119B" w14:textId="77777777" w:rsidR="00364CB4" w:rsidRPr="00364CB4" w:rsidRDefault="00364CB4" w:rsidP="00364CB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b/>
          <w:bCs/>
          <w:sz w:val="24"/>
          <w:szCs w:val="24"/>
        </w:rPr>
        <w:t>Kesimpulan</w:t>
      </w:r>
    </w:p>
    <w:p w14:paraId="289C3A7B" w14:textId="77777777" w:rsidR="00364CB4" w:rsidRP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CB4">
        <w:rPr>
          <w:rFonts w:ascii="Times New Roman" w:eastAsia="Times New Roman" w:hAnsi="Times New Roman" w:cs="Times New Roman"/>
          <w:i/>
          <w:iCs/>
          <w:sz w:val="24"/>
          <w:szCs w:val="24"/>
        </w:rPr>
        <w:t>Herd effect</w:t>
      </w:r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 era media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bersikap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Ketika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viralitas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mengalahkan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nalar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tata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C4BFD" w14:textId="77777777" w:rsidR="00364CB4" w:rsidRDefault="00364CB4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regulasi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cerdas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beriringan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masa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membiarkan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nalar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rasionalitas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fondasi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4CB4"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 w:rsidRPr="00364CB4">
        <w:rPr>
          <w:rFonts w:ascii="Times New Roman" w:eastAsia="Times New Roman" w:hAnsi="Times New Roman" w:cs="Times New Roman"/>
          <w:sz w:val="24"/>
          <w:szCs w:val="24"/>
        </w:rPr>
        <w:t xml:space="preserve"> di era digital.</w:t>
      </w:r>
    </w:p>
    <w:p w14:paraId="5F62D21D" w14:textId="77777777" w:rsidR="00895481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9FF50" w14:textId="77777777" w:rsidR="00895481" w:rsidRPr="00364CB4" w:rsidRDefault="00895481" w:rsidP="0036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A5CA1" w14:textId="7D39828F" w:rsidR="00673C19" w:rsidRPr="00F175AF" w:rsidRDefault="005D3573" w:rsidP="00B30CF5">
      <w:pPr>
        <w:spacing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C13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13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9BF" w:rsidRPr="00AC1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9BF" w:rsidRPr="00AC13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9BF" w:rsidRPr="00AC13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5481">
        <w:rPr>
          <w:rFonts w:ascii="Times New Roman" w:hAnsi="Times New Roman" w:cs="Times New Roman"/>
          <w:b/>
          <w:bCs/>
          <w:sz w:val="24"/>
          <w:szCs w:val="24"/>
        </w:rPr>
        <w:t xml:space="preserve">Reja </w:t>
      </w:r>
      <w:proofErr w:type="spellStart"/>
      <w:r w:rsidR="00895481">
        <w:rPr>
          <w:rFonts w:ascii="Times New Roman" w:hAnsi="Times New Roman" w:cs="Times New Roman"/>
          <w:b/>
          <w:bCs/>
          <w:sz w:val="24"/>
          <w:szCs w:val="24"/>
        </w:rPr>
        <w:t>Pahlevi</w:t>
      </w:r>
      <w:proofErr w:type="spellEnd"/>
      <w:r w:rsidR="00B30CF5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5C347B06" w14:textId="77777777" w:rsidR="00B30CF5" w:rsidRDefault="00B30CF5">
      <w:pPr>
        <w:rPr>
          <w:rFonts w:ascii="Times New Roman" w:hAnsi="Times New Roman" w:cs="Times New Roman"/>
          <w:b/>
          <w:sz w:val="24"/>
          <w:szCs w:val="24"/>
        </w:rPr>
      </w:pPr>
    </w:p>
    <w:p w14:paraId="1DEEBCC5" w14:textId="457CB4E4" w:rsidR="00D738CF" w:rsidRPr="00B82EDB" w:rsidRDefault="00DD0C8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2EDB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</w:p>
    <w:p w14:paraId="3A82CC4E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Banerjee, A. V. (1992). A simple model of herd behavior.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The Quarterly Journal of Economics, 107</w:t>
      </w:r>
      <w:r w:rsidRPr="00AC1FF9">
        <w:rPr>
          <w:rFonts w:ascii="Times New Roman" w:hAnsi="Times New Roman" w:cs="Times New Roman"/>
          <w:sz w:val="24"/>
          <w:szCs w:val="24"/>
        </w:rPr>
        <w:t xml:space="preserve">(3), 797–817. </w:t>
      </w:r>
      <w:hyperlink r:id="rId9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https://doi.org/10.2307/2118364</w:t>
        </w:r>
      </w:hyperlink>
    </w:p>
    <w:p w14:paraId="46E4ADD1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Bennett, W. L., &amp; Livingston, S. (2018). The disinformation order: Disruptive communication and the decline of democratic institutions.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European Journal of Communication, 33</w:t>
      </w:r>
      <w:r w:rsidRPr="00AC1FF9">
        <w:rPr>
          <w:rFonts w:ascii="Times New Roman" w:hAnsi="Times New Roman" w:cs="Times New Roman"/>
          <w:sz w:val="24"/>
          <w:szCs w:val="24"/>
        </w:rPr>
        <w:t xml:space="preserve">(2), 122–139. </w:t>
      </w:r>
      <w:hyperlink r:id="rId10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https://doi.org/10.1177/0267323118760317</w:t>
        </w:r>
      </w:hyperlink>
    </w:p>
    <w:p w14:paraId="4DED10D4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Bikhchandani, S., </w:t>
      </w:r>
      <w:proofErr w:type="spellStart"/>
      <w:r w:rsidRPr="00AC1FF9">
        <w:rPr>
          <w:rFonts w:ascii="Times New Roman" w:hAnsi="Times New Roman" w:cs="Times New Roman"/>
          <w:sz w:val="24"/>
          <w:szCs w:val="24"/>
        </w:rPr>
        <w:t>Hirshleifer</w:t>
      </w:r>
      <w:proofErr w:type="spellEnd"/>
      <w:r w:rsidRPr="00AC1FF9">
        <w:rPr>
          <w:rFonts w:ascii="Times New Roman" w:hAnsi="Times New Roman" w:cs="Times New Roman"/>
          <w:sz w:val="24"/>
          <w:szCs w:val="24"/>
        </w:rPr>
        <w:t xml:space="preserve">, D., &amp; Welch, I. (1992). A theory of fads, fashion, custom, and cultural change as informational cascades.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Journal of Political Economy, 100</w:t>
      </w:r>
      <w:r w:rsidRPr="00AC1FF9">
        <w:rPr>
          <w:rFonts w:ascii="Times New Roman" w:hAnsi="Times New Roman" w:cs="Times New Roman"/>
          <w:sz w:val="24"/>
          <w:szCs w:val="24"/>
        </w:rPr>
        <w:t xml:space="preserve">(5), 992–1026. </w:t>
      </w:r>
      <w:hyperlink r:id="rId11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https://doi.org/10.1086/261849</w:t>
        </w:r>
      </w:hyperlink>
    </w:p>
    <w:p w14:paraId="1AAB700E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Cialdini, R. B. (2009).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Influence: Science and practice</w:t>
      </w:r>
      <w:r w:rsidRPr="00AC1FF9">
        <w:rPr>
          <w:rFonts w:ascii="Times New Roman" w:hAnsi="Times New Roman" w:cs="Times New Roman"/>
          <w:sz w:val="24"/>
          <w:szCs w:val="24"/>
        </w:rPr>
        <w:t xml:space="preserve"> (5th ed.). Pearson Education.</w:t>
      </w:r>
    </w:p>
    <w:p w14:paraId="3DF69729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European Commission. (2022).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Code of practice on disinformation</w:t>
      </w:r>
      <w:r w:rsidRPr="00AC1FF9">
        <w:rPr>
          <w:rFonts w:ascii="Times New Roman" w:hAnsi="Times New Roman" w:cs="Times New Roman"/>
          <w:sz w:val="24"/>
          <w:szCs w:val="24"/>
        </w:rPr>
        <w:t>. Publications Office of the European Union.</w:t>
      </w:r>
    </w:p>
    <w:p w14:paraId="3811E413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1FF9">
        <w:rPr>
          <w:rFonts w:ascii="Times New Roman" w:hAnsi="Times New Roman" w:cs="Times New Roman"/>
          <w:sz w:val="24"/>
          <w:szCs w:val="24"/>
        </w:rPr>
        <w:t>Floridi</w:t>
      </w:r>
      <w:proofErr w:type="spellEnd"/>
      <w:r w:rsidRPr="00AC1FF9">
        <w:rPr>
          <w:rFonts w:ascii="Times New Roman" w:hAnsi="Times New Roman" w:cs="Times New Roman"/>
          <w:sz w:val="24"/>
          <w:szCs w:val="24"/>
        </w:rPr>
        <w:t xml:space="preserve">, L., Cowls, J., </w:t>
      </w:r>
      <w:proofErr w:type="spellStart"/>
      <w:r w:rsidRPr="00AC1FF9">
        <w:rPr>
          <w:rFonts w:ascii="Times New Roman" w:hAnsi="Times New Roman" w:cs="Times New Roman"/>
          <w:sz w:val="24"/>
          <w:szCs w:val="24"/>
        </w:rPr>
        <w:t>Beltrametti</w:t>
      </w:r>
      <w:proofErr w:type="spellEnd"/>
      <w:r w:rsidRPr="00AC1FF9">
        <w:rPr>
          <w:rFonts w:ascii="Times New Roman" w:hAnsi="Times New Roman" w:cs="Times New Roman"/>
          <w:sz w:val="24"/>
          <w:szCs w:val="24"/>
        </w:rPr>
        <w:t xml:space="preserve">, M., Chatila, R., </w:t>
      </w:r>
      <w:proofErr w:type="spellStart"/>
      <w:r w:rsidRPr="00AC1FF9">
        <w:rPr>
          <w:rFonts w:ascii="Times New Roman" w:hAnsi="Times New Roman" w:cs="Times New Roman"/>
          <w:sz w:val="24"/>
          <w:szCs w:val="24"/>
        </w:rPr>
        <w:t>Chazerand</w:t>
      </w:r>
      <w:proofErr w:type="spellEnd"/>
      <w:r w:rsidRPr="00AC1FF9">
        <w:rPr>
          <w:rFonts w:ascii="Times New Roman" w:hAnsi="Times New Roman" w:cs="Times New Roman"/>
          <w:sz w:val="24"/>
          <w:szCs w:val="24"/>
        </w:rPr>
        <w:t xml:space="preserve">, P., Dignum, V., Luetge, C., Madelin, R., </w:t>
      </w:r>
      <w:proofErr w:type="spellStart"/>
      <w:r w:rsidRPr="00AC1FF9">
        <w:rPr>
          <w:rFonts w:ascii="Times New Roman" w:hAnsi="Times New Roman" w:cs="Times New Roman"/>
          <w:sz w:val="24"/>
          <w:szCs w:val="24"/>
        </w:rPr>
        <w:t>Pagallo</w:t>
      </w:r>
      <w:proofErr w:type="spellEnd"/>
      <w:r w:rsidRPr="00AC1FF9">
        <w:rPr>
          <w:rFonts w:ascii="Times New Roman" w:hAnsi="Times New Roman" w:cs="Times New Roman"/>
          <w:sz w:val="24"/>
          <w:szCs w:val="24"/>
        </w:rPr>
        <w:t xml:space="preserve">, U., Rossi, F., Schafer, B., Valcke, P., &amp; </w:t>
      </w:r>
      <w:proofErr w:type="spellStart"/>
      <w:r w:rsidRPr="00AC1FF9">
        <w:rPr>
          <w:rFonts w:ascii="Times New Roman" w:hAnsi="Times New Roman" w:cs="Times New Roman"/>
          <w:sz w:val="24"/>
          <w:szCs w:val="24"/>
        </w:rPr>
        <w:t>Vayena</w:t>
      </w:r>
      <w:proofErr w:type="spellEnd"/>
      <w:r w:rsidRPr="00AC1FF9">
        <w:rPr>
          <w:rFonts w:ascii="Times New Roman" w:hAnsi="Times New Roman" w:cs="Times New Roman"/>
          <w:sz w:val="24"/>
          <w:szCs w:val="24"/>
        </w:rPr>
        <w:t xml:space="preserve">, E. (2018). AI4People—An ethical framework for a good AI society: Opportunities, risks, principles, and recommendations.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Minds and Machines, 28</w:t>
      </w:r>
      <w:r w:rsidRPr="00AC1FF9">
        <w:rPr>
          <w:rFonts w:ascii="Times New Roman" w:hAnsi="Times New Roman" w:cs="Times New Roman"/>
          <w:sz w:val="24"/>
          <w:szCs w:val="24"/>
        </w:rPr>
        <w:t xml:space="preserve">(4), 689–707. </w:t>
      </w:r>
      <w:hyperlink r:id="rId12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https://doi.org/10.1007/s11023-018-9482-5</w:t>
        </w:r>
      </w:hyperlink>
    </w:p>
    <w:p w14:paraId="21678120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Gillespie, T. (2014). The relevance of algorithms. In T. Gillespie, P. J. Boczkowski, &amp; K. A. Foot (Eds.),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Media technologies: Essays on communication, materiality, and society</w:t>
      </w:r>
      <w:r w:rsidRPr="00AC1FF9">
        <w:rPr>
          <w:rFonts w:ascii="Times New Roman" w:hAnsi="Times New Roman" w:cs="Times New Roman"/>
          <w:sz w:val="24"/>
          <w:szCs w:val="24"/>
        </w:rPr>
        <w:t xml:space="preserve"> (pp. 167–194). MIT Press.</w:t>
      </w:r>
    </w:p>
    <w:p w14:paraId="1AD16266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Habermas, J. (2006). Political communication in media society: Does democracy still enjoy an epistemic dimension? The impact of normative theory on empirical research.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Communication Theory, 16</w:t>
      </w:r>
      <w:r w:rsidRPr="00AC1FF9">
        <w:rPr>
          <w:rFonts w:ascii="Times New Roman" w:hAnsi="Times New Roman" w:cs="Times New Roman"/>
          <w:sz w:val="24"/>
          <w:szCs w:val="24"/>
        </w:rPr>
        <w:t xml:space="preserve">(4), 411–426. </w:t>
      </w:r>
      <w:hyperlink r:id="rId13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https://doi.org/10.1111/j.1468-2885.2006.00280.x</w:t>
        </w:r>
      </w:hyperlink>
    </w:p>
    <w:p w14:paraId="6DB89840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Kahneman, D. (2011).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Thinking, fast and slow</w:t>
      </w:r>
      <w:r w:rsidRPr="00AC1FF9">
        <w:rPr>
          <w:rFonts w:ascii="Times New Roman" w:hAnsi="Times New Roman" w:cs="Times New Roman"/>
          <w:sz w:val="24"/>
          <w:szCs w:val="24"/>
        </w:rPr>
        <w:t>. Farrar, Straus and Giroux.</w:t>
      </w:r>
    </w:p>
    <w:p w14:paraId="5DB5CE1A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Kreiss, D. (2016).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Prototype politics: Technology-intensive campaigning and the data of democracy</w:t>
      </w:r>
      <w:r w:rsidRPr="00AC1FF9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22B0A938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Livingstone, S. (2014). Developing social media literacy: How children learn to interpret risky opportunities on social network sites.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Media, Culture &amp; Society, 36</w:t>
      </w:r>
      <w:r w:rsidRPr="00AC1FF9">
        <w:rPr>
          <w:rFonts w:ascii="Times New Roman" w:hAnsi="Times New Roman" w:cs="Times New Roman"/>
          <w:sz w:val="24"/>
          <w:szCs w:val="24"/>
        </w:rPr>
        <w:t xml:space="preserve">(3), 283–303. </w:t>
      </w:r>
      <w:hyperlink r:id="rId14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https://doi.org/10.1177/0163443713515366</w:t>
        </w:r>
      </w:hyperlink>
    </w:p>
    <w:p w14:paraId="6E5880CA" w14:textId="77777777" w:rsidR="00AC1FF9" w:rsidRPr="00AC1FF9" w:rsidRDefault="00AC1FF9" w:rsidP="00AC1FF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1FF9">
        <w:rPr>
          <w:rFonts w:ascii="Times New Roman" w:hAnsi="Times New Roman" w:cs="Times New Roman"/>
          <w:sz w:val="24"/>
          <w:szCs w:val="24"/>
        </w:rPr>
        <w:t xml:space="preserve">OECD. (2021). </w:t>
      </w:r>
      <w:r w:rsidRPr="00AC1FF9">
        <w:rPr>
          <w:rFonts w:ascii="Times New Roman" w:hAnsi="Times New Roman" w:cs="Times New Roman"/>
          <w:i/>
          <w:iCs/>
          <w:sz w:val="24"/>
          <w:szCs w:val="24"/>
        </w:rPr>
        <w:t>Enhancing media literacy for a trustworthy information environment</w:t>
      </w:r>
      <w:r w:rsidRPr="00AC1FF9">
        <w:rPr>
          <w:rFonts w:ascii="Times New Roman" w:hAnsi="Times New Roman" w:cs="Times New Roman"/>
          <w:sz w:val="24"/>
          <w:szCs w:val="24"/>
        </w:rPr>
        <w:t xml:space="preserve">. OECD Publishing. </w:t>
      </w:r>
      <w:hyperlink r:id="rId15" w:history="1">
        <w:r w:rsidRPr="00AC1FF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https://doi.org/10.1787/a23bbf99-en</w:t>
        </w:r>
      </w:hyperlink>
    </w:p>
    <w:sectPr w:rsidR="00AC1FF9" w:rsidRPr="00AC1FF9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A472" w14:textId="77777777" w:rsidR="001C1867" w:rsidRDefault="001C1867" w:rsidP="005D3573">
      <w:pPr>
        <w:spacing w:after="0" w:line="240" w:lineRule="auto"/>
      </w:pPr>
      <w:r>
        <w:separator/>
      </w:r>
    </w:p>
  </w:endnote>
  <w:endnote w:type="continuationSeparator" w:id="0">
    <w:p w14:paraId="2F3CB030" w14:textId="77777777" w:rsidR="001C1867" w:rsidRDefault="001C1867" w:rsidP="005D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DD9E" w14:textId="3D83AFFF" w:rsidR="00B90F3F" w:rsidRDefault="00B90F3F" w:rsidP="00B90F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bookmarkStart w:id="0" w:name="_Hlk205281252"/>
    <w:bookmarkStart w:id="1" w:name="_Hlk205281253"/>
    <w:bookmarkStart w:id="2" w:name="_Hlk205281384"/>
    <w:bookmarkStart w:id="3" w:name="_Hlk205281385"/>
    <w:bookmarkStart w:id="4" w:name="_Hlk205281839"/>
    <w:bookmarkStart w:id="5" w:name="_Hlk205281840"/>
    <w:bookmarkStart w:id="6" w:name="_Hlk205281848"/>
    <w:bookmarkStart w:id="7" w:name="_Hlk205281849"/>
    <w:r>
      <w:rPr>
        <w:rFonts w:ascii="Arial Narrow" w:eastAsia="Arial Narrow" w:hAnsi="Arial Narrow" w:cs="Arial Narrow"/>
        <w:color w:val="000000"/>
        <w:sz w:val="20"/>
        <w:szCs w:val="20"/>
      </w:rPr>
      <w:t>JURNAL TRANSFORMASI ADMINISTRASI ● VOLUME 15 ● NOMOR  0</w:t>
    </w:r>
    <w:r w:rsidR="00540132">
      <w:rPr>
        <w:rFonts w:ascii="Arial Narrow" w:eastAsia="Arial Narrow" w:hAnsi="Arial Narrow" w:cs="Arial Narrow"/>
        <w:color w:val="000000"/>
        <w:sz w:val="20"/>
        <w:szCs w:val="20"/>
      </w:rPr>
      <w:t xml:space="preserve">2 </w:t>
    </w:r>
    <w:r>
      <w:rPr>
        <w:rFonts w:ascii="Arial Narrow" w:eastAsia="Arial Narrow" w:hAnsi="Arial Narrow" w:cs="Arial Narrow"/>
        <w:color w:val="000000"/>
        <w:sz w:val="20"/>
        <w:szCs w:val="20"/>
      </w:rPr>
      <w:t>● TAHUN 2025</w:t>
    </w:r>
  </w:p>
  <w:bookmarkEnd w:id="0"/>
  <w:bookmarkEnd w:id="1"/>
  <w:bookmarkEnd w:id="2"/>
  <w:bookmarkEnd w:id="3"/>
  <w:bookmarkEnd w:id="4"/>
  <w:bookmarkEnd w:id="5"/>
  <w:bookmarkEnd w:id="6"/>
  <w:bookmarkEnd w:id="7"/>
  <w:p w14:paraId="0259B4A1" w14:textId="2F45187A" w:rsidR="00863D5C" w:rsidRPr="00D81298" w:rsidRDefault="00863D5C" w:rsidP="00863D5C">
    <w:pPr>
      <w:pStyle w:val="Footer"/>
      <w:jc w:val="cen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E43F" w14:textId="77777777" w:rsidR="001C1867" w:rsidRDefault="001C1867" w:rsidP="005D3573">
      <w:pPr>
        <w:spacing w:after="0" w:line="240" w:lineRule="auto"/>
      </w:pPr>
      <w:r>
        <w:separator/>
      </w:r>
    </w:p>
  </w:footnote>
  <w:footnote w:type="continuationSeparator" w:id="0">
    <w:p w14:paraId="22B12D8B" w14:textId="77777777" w:rsidR="001C1867" w:rsidRDefault="001C1867" w:rsidP="005D3573">
      <w:pPr>
        <w:spacing w:after="0" w:line="240" w:lineRule="auto"/>
      </w:pPr>
      <w:r>
        <w:continuationSeparator/>
      </w:r>
    </w:p>
  </w:footnote>
  <w:footnote w:id="1">
    <w:p w14:paraId="05F2A09F" w14:textId="250A0698" w:rsidR="00B30CF5" w:rsidRDefault="00B30C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30CF5">
        <w:t>Mahasiswi</w:t>
      </w:r>
      <w:proofErr w:type="spellEnd"/>
      <w:r w:rsidRPr="00B30CF5">
        <w:t xml:space="preserve"> Fakultas </w:t>
      </w:r>
      <w:proofErr w:type="spellStart"/>
      <w:r w:rsidRPr="00B30CF5">
        <w:t>Ilmu</w:t>
      </w:r>
      <w:proofErr w:type="spellEnd"/>
      <w:r w:rsidRPr="00B30CF5">
        <w:t xml:space="preserve"> </w:t>
      </w:r>
      <w:proofErr w:type="spellStart"/>
      <w:r w:rsidRPr="00B30CF5">
        <w:t>Sosial</w:t>
      </w:r>
      <w:proofErr w:type="spellEnd"/>
      <w:r w:rsidRPr="00B30CF5">
        <w:t xml:space="preserve"> dan </w:t>
      </w:r>
      <w:proofErr w:type="spellStart"/>
      <w:r w:rsidRPr="00B30CF5">
        <w:t>Ilmu</w:t>
      </w:r>
      <w:proofErr w:type="spellEnd"/>
      <w:r w:rsidRPr="00B30CF5">
        <w:t xml:space="preserve"> Pemerintahan, UIN </w:t>
      </w:r>
      <w:proofErr w:type="spellStart"/>
      <w:r w:rsidRPr="00B30CF5">
        <w:t>Ar-Raniry</w:t>
      </w:r>
      <w:proofErr w:type="spellEnd"/>
      <w:r w:rsidRPr="00B30CF5">
        <w:t xml:space="preserve"> Banda Aceh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A7BE2"/>
    <w:multiLevelType w:val="hybridMultilevel"/>
    <w:tmpl w:val="FA0E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9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3"/>
    <w:rsid w:val="000155D7"/>
    <w:rsid w:val="000B409C"/>
    <w:rsid w:val="000E300C"/>
    <w:rsid w:val="000F2A97"/>
    <w:rsid w:val="0015313D"/>
    <w:rsid w:val="001579BF"/>
    <w:rsid w:val="0017455B"/>
    <w:rsid w:val="001C1867"/>
    <w:rsid w:val="001F1DA3"/>
    <w:rsid w:val="001F3119"/>
    <w:rsid w:val="002D5107"/>
    <w:rsid w:val="00337412"/>
    <w:rsid w:val="0036066D"/>
    <w:rsid w:val="00364CB4"/>
    <w:rsid w:val="00367B71"/>
    <w:rsid w:val="003C3C36"/>
    <w:rsid w:val="004615F7"/>
    <w:rsid w:val="0046762E"/>
    <w:rsid w:val="004A0505"/>
    <w:rsid w:val="004C45CD"/>
    <w:rsid w:val="004E08C2"/>
    <w:rsid w:val="00540132"/>
    <w:rsid w:val="00564E3D"/>
    <w:rsid w:val="005B039B"/>
    <w:rsid w:val="005D1CB3"/>
    <w:rsid w:val="005D3573"/>
    <w:rsid w:val="00613337"/>
    <w:rsid w:val="00613E06"/>
    <w:rsid w:val="006534A6"/>
    <w:rsid w:val="00673C19"/>
    <w:rsid w:val="0068541B"/>
    <w:rsid w:val="006A083D"/>
    <w:rsid w:val="006B73C4"/>
    <w:rsid w:val="006D76CB"/>
    <w:rsid w:val="006F335A"/>
    <w:rsid w:val="00723BEE"/>
    <w:rsid w:val="007728DD"/>
    <w:rsid w:val="0077713C"/>
    <w:rsid w:val="00782449"/>
    <w:rsid w:val="007B45A8"/>
    <w:rsid w:val="007F7792"/>
    <w:rsid w:val="00806DE1"/>
    <w:rsid w:val="00812CA0"/>
    <w:rsid w:val="008345C2"/>
    <w:rsid w:val="00840CC0"/>
    <w:rsid w:val="008541A3"/>
    <w:rsid w:val="00856641"/>
    <w:rsid w:val="00863D5C"/>
    <w:rsid w:val="00895481"/>
    <w:rsid w:val="00A060E5"/>
    <w:rsid w:val="00AC1344"/>
    <w:rsid w:val="00AC1FF9"/>
    <w:rsid w:val="00AD148C"/>
    <w:rsid w:val="00B15FEB"/>
    <w:rsid w:val="00B30CF5"/>
    <w:rsid w:val="00B82EDB"/>
    <w:rsid w:val="00B90F3F"/>
    <w:rsid w:val="00BD21AE"/>
    <w:rsid w:val="00BD61CF"/>
    <w:rsid w:val="00C2403B"/>
    <w:rsid w:val="00C44CDF"/>
    <w:rsid w:val="00C66A46"/>
    <w:rsid w:val="00CC4DDE"/>
    <w:rsid w:val="00CD7CE6"/>
    <w:rsid w:val="00D27D9E"/>
    <w:rsid w:val="00D62D71"/>
    <w:rsid w:val="00D738CF"/>
    <w:rsid w:val="00D93E6E"/>
    <w:rsid w:val="00DD0C8E"/>
    <w:rsid w:val="00DE4803"/>
    <w:rsid w:val="00E30413"/>
    <w:rsid w:val="00E456C0"/>
    <w:rsid w:val="00EA5A2C"/>
    <w:rsid w:val="00EC1920"/>
    <w:rsid w:val="00F175AF"/>
    <w:rsid w:val="00F33D49"/>
    <w:rsid w:val="00F42AB9"/>
    <w:rsid w:val="00F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2D1C"/>
  <w15:docId w15:val="{07E07268-9ECE-42B7-AEB9-EF28BA6F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F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35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5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3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3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5C"/>
  </w:style>
  <w:style w:type="paragraph" w:styleId="Footer">
    <w:name w:val="footer"/>
    <w:basedOn w:val="Normal"/>
    <w:link w:val="FooterChar"/>
    <w:uiPriority w:val="99"/>
    <w:unhideWhenUsed/>
    <w:rsid w:val="00863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5C"/>
  </w:style>
  <w:style w:type="character" w:styleId="Hyperlink">
    <w:name w:val="Hyperlink"/>
    <w:basedOn w:val="DefaultParagraphFont"/>
    <w:uiPriority w:val="99"/>
    <w:unhideWhenUsed/>
    <w:rsid w:val="007728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111/j.1468-2885.2006.00280.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1023-018-9482-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6/2618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787/a23bbf99-en" TargetMode="External"/><Relationship Id="rId10" Type="http://schemas.openxmlformats.org/officeDocument/2006/relationships/hyperlink" Target="https://doi.org/10.1177/0267323118760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307/2118364" TargetMode="External"/><Relationship Id="rId14" Type="http://schemas.openxmlformats.org/officeDocument/2006/relationships/hyperlink" Target="https://doi.org/10.1177/016344371351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DAA1-D827-4D1B-AEE0-26B7DFD6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Konsep Herd Effect dalam Konteks Digital</vt:lpstr>
      <vt:lpstr>    Viralitas: Kecepatan versus Akurasi</vt:lpstr>
      <vt:lpstr>    Dampak Sosial: Polarisasi dan Penghakiman Digital</vt:lpstr>
      <vt:lpstr>    Implikasi terhadap Demokrasi dan Kebijakan Publik</vt:lpstr>
      <vt:lpstr>    Dampak pada Pendidikan dan Dunia Usaha</vt:lpstr>
      <vt:lpstr>    Literasi Digital sebagai Strategi Mitigasi</vt:lpstr>
      <vt:lpstr>    Peran Negara dan Regulasi</vt:lpstr>
      <vt:lpstr>    Kesimpulan</vt:lpstr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2025-08-05T07:26:00Z</cp:lastPrinted>
  <dcterms:created xsi:type="dcterms:W3CDTF">2025-12-15T02:39:00Z</dcterms:created>
  <dcterms:modified xsi:type="dcterms:W3CDTF">2025-12-15T04:51:00Z</dcterms:modified>
</cp:coreProperties>
</file>